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Pr>
          <w:rFonts w:ascii="ˎ̥" w:eastAsia="宋体" w:hAnsi="ˎ̥" w:cs="Arial" w:hint="eastAsia"/>
          <w:noProof/>
          <w:color w:val="000000"/>
          <w:kern w:val="0"/>
          <w:szCs w:val="21"/>
        </w:rPr>
        <w:drawing>
          <wp:inline distT="0" distB="0" distL="0" distR="0">
            <wp:extent cx="5867400" cy="1590675"/>
            <wp:effectExtent l="19050" t="0" r="0" b="0"/>
            <wp:docPr id="1" name="图片 1" descr="http://www.sfda.gov.cn/directory/web/WS01/images/1418145872036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fda.gov.cn/directory/web/WS01/images/14181458720369995.jpg"/>
                    <pic:cNvPicPr>
                      <a:picLocks noChangeAspect="1" noChangeArrowheads="1"/>
                    </pic:cNvPicPr>
                  </pic:nvPicPr>
                  <pic:blipFill>
                    <a:blip r:embed="rId6"/>
                    <a:srcRect/>
                    <a:stretch>
                      <a:fillRect/>
                    </a:stretch>
                  </pic:blipFill>
                  <pic:spPr bwMode="auto">
                    <a:xfrm>
                      <a:off x="0" y="0"/>
                      <a:ext cx="5867400" cy="1590675"/>
                    </a:xfrm>
                    <a:prstGeom prst="rect">
                      <a:avLst/>
                    </a:prstGeom>
                    <a:noFill/>
                    <a:ln w="9525">
                      <a:noFill/>
                      <a:miter lim="800000"/>
                      <a:headEnd/>
                      <a:tailEnd/>
                    </a:ln>
                  </pic:spPr>
                </pic:pic>
              </a:graphicData>
            </a:graphic>
          </wp:inline>
        </w:drawing>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color w:val="000000"/>
          <w:kern w:val="0"/>
          <w:szCs w:val="21"/>
        </w:rPr>
        <w:t>第</w:t>
      </w:r>
      <w:r w:rsidRPr="00333A78">
        <w:rPr>
          <w:rFonts w:ascii="ˎ̥" w:eastAsia="宋体" w:hAnsi="ˎ̥" w:cs="Arial"/>
          <w:color w:val="000000"/>
          <w:kern w:val="0"/>
          <w:szCs w:val="21"/>
        </w:rPr>
        <w:t>25</w:t>
      </w:r>
      <w:r w:rsidRPr="00333A78">
        <w:rPr>
          <w:rFonts w:ascii="ˎ̥" w:eastAsia="宋体" w:hAnsi="ˎ̥" w:cs="Arial"/>
          <w:color w:val="000000"/>
          <w:kern w:val="0"/>
          <w:szCs w:val="21"/>
        </w:rPr>
        <w:t>号</w:t>
      </w:r>
      <w:r w:rsidRPr="00333A78">
        <w:rPr>
          <w:rFonts w:ascii="ˎ̥" w:eastAsia="宋体" w:hAnsi="ˎ̥" w:cs="Arial"/>
          <w:color w:val="000000"/>
          <w:kern w:val="0"/>
          <w:szCs w:val="21"/>
        </w:rPr>
        <w:t xml:space="preserve"> </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color w:val="000000"/>
          <w:kern w:val="0"/>
          <w:szCs w:val="21"/>
        </w:rPr>
        <w:t xml:space="preserve">　　《医疗器械临床试验质量管理规范》已经国家食品药品监督管理总局局务会议、国家卫生和计划生育委员会委主任会议审议通过，现予公布，自</w:t>
      </w:r>
      <w:r w:rsidRPr="00333A78">
        <w:rPr>
          <w:rFonts w:ascii="ˎ̥" w:eastAsia="宋体" w:hAnsi="ˎ̥" w:cs="Arial"/>
          <w:color w:val="000000"/>
          <w:kern w:val="0"/>
          <w:szCs w:val="21"/>
        </w:rPr>
        <w:t>2016</w:t>
      </w:r>
      <w:r w:rsidRPr="00333A78">
        <w:rPr>
          <w:rFonts w:ascii="ˎ̥" w:eastAsia="宋体" w:hAnsi="ˎ̥" w:cs="Arial"/>
          <w:color w:val="000000"/>
          <w:kern w:val="0"/>
          <w:szCs w:val="21"/>
        </w:rPr>
        <w:t>年</w:t>
      </w:r>
      <w:r w:rsidRPr="00333A78">
        <w:rPr>
          <w:rFonts w:ascii="ˎ̥" w:eastAsia="宋体" w:hAnsi="ˎ̥" w:cs="Arial"/>
          <w:color w:val="000000"/>
          <w:kern w:val="0"/>
          <w:szCs w:val="21"/>
        </w:rPr>
        <w:t>6</w:t>
      </w:r>
      <w:r w:rsidRPr="00333A78">
        <w:rPr>
          <w:rFonts w:ascii="ˎ̥" w:eastAsia="宋体" w:hAnsi="ˎ̥" w:cs="Arial"/>
          <w:color w:val="000000"/>
          <w:kern w:val="0"/>
          <w:szCs w:val="21"/>
        </w:rPr>
        <w:t>月</w:t>
      </w:r>
      <w:r w:rsidRPr="00333A78">
        <w:rPr>
          <w:rFonts w:ascii="ˎ̥" w:eastAsia="宋体" w:hAnsi="ˎ̥" w:cs="Arial"/>
          <w:color w:val="000000"/>
          <w:kern w:val="0"/>
          <w:szCs w:val="21"/>
        </w:rPr>
        <w:t>1</w:t>
      </w:r>
      <w:r w:rsidRPr="00333A78">
        <w:rPr>
          <w:rFonts w:ascii="ˎ̥" w:eastAsia="宋体" w:hAnsi="ˎ̥" w:cs="Arial"/>
          <w:color w:val="000000"/>
          <w:kern w:val="0"/>
          <w:szCs w:val="21"/>
        </w:rPr>
        <w:t>日起施行。</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局</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长　毕井泉</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color w:val="000000"/>
          <w:kern w:val="0"/>
          <w:szCs w:val="21"/>
        </w:rPr>
        <w:t xml:space="preserve">　主</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任　李斌</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color w:val="000000"/>
          <w:kern w:val="0"/>
          <w:sz w:val="18"/>
          <w:szCs w:val="18"/>
        </w:rPr>
        <w:br/>
      </w:r>
      <w:r w:rsidRPr="00333A78">
        <w:rPr>
          <w:rFonts w:ascii="ˎ̥" w:eastAsia="宋体" w:hAnsi="ˎ̥" w:cs="Arial"/>
          <w:color w:val="000000"/>
          <w:kern w:val="0"/>
          <w:szCs w:val="21"/>
        </w:rPr>
        <w:t>2016</w:t>
      </w:r>
      <w:r w:rsidRPr="00333A78">
        <w:rPr>
          <w:rFonts w:ascii="ˎ̥" w:eastAsia="宋体" w:hAnsi="ˎ̥" w:cs="Arial"/>
          <w:color w:val="000000"/>
          <w:kern w:val="0"/>
          <w:szCs w:val="21"/>
        </w:rPr>
        <w:t>年</w:t>
      </w:r>
      <w:r w:rsidRPr="00333A78">
        <w:rPr>
          <w:rFonts w:ascii="ˎ̥" w:eastAsia="宋体" w:hAnsi="ˎ̥" w:cs="Arial"/>
          <w:color w:val="000000"/>
          <w:kern w:val="0"/>
          <w:szCs w:val="21"/>
        </w:rPr>
        <w:t>3</w:t>
      </w:r>
      <w:r w:rsidRPr="00333A78">
        <w:rPr>
          <w:rFonts w:ascii="ˎ̥" w:eastAsia="宋体" w:hAnsi="ˎ̥" w:cs="Arial"/>
          <w:color w:val="000000"/>
          <w:kern w:val="0"/>
          <w:szCs w:val="21"/>
        </w:rPr>
        <w:t>月</w:t>
      </w:r>
      <w:r w:rsidRPr="00333A78">
        <w:rPr>
          <w:rFonts w:ascii="ˎ̥" w:eastAsia="宋体" w:hAnsi="ˎ̥" w:cs="Arial"/>
          <w:color w:val="000000"/>
          <w:kern w:val="0"/>
          <w:szCs w:val="21"/>
        </w:rPr>
        <w:t>1</w:t>
      </w:r>
      <w:r w:rsidRPr="00333A78">
        <w:rPr>
          <w:rFonts w:ascii="ˎ̥" w:eastAsia="宋体" w:hAnsi="ˎ̥" w:cs="Arial"/>
          <w:color w:val="000000"/>
          <w:kern w:val="0"/>
          <w:szCs w:val="21"/>
        </w:rPr>
        <w:t>日</w:t>
      </w:r>
    </w:p>
    <w:p w:rsidR="00333A78" w:rsidRDefault="00333A78" w:rsidP="00333A78">
      <w:pPr>
        <w:widowControl/>
        <w:spacing w:before="100" w:beforeAutospacing="1" w:after="100" w:afterAutospacing="1" w:line="480" w:lineRule="auto"/>
        <w:jc w:val="center"/>
        <w:rPr>
          <w:rFonts w:ascii="ˎ̥" w:eastAsia="宋体" w:hAnsi="ˎ̥" w:cs="Arial" w:hint="eastAsia"/>
          <w:b/>
          <w:bCs/>
          <w:color w:val="000000"/>
          <w:kern w:val="0"/>
          <w:sz w:val="36"/>
        </w:rPr>
      </w:pPr>
    </w:p>
    <w:p w:rsidR="00333A78" w:rsidRDefault="00333A78" w:rsidP="00333A78">
      <w:pPr>
        <w:widowControl/>
        <w:spacing w:before="100" w:beforeAutospacing="1" w:after="100" w:afterAutospacing="1" w:line="480" w:lineRule="auto"/>
        <w:jc w:val="center"/>
        <w:rPr>
          <w:rFonts w:ascii="ˎ̥" w:eastAsia="宋体" w:hAnsi="ˎ̥" w:cs="Arial" w:hint="eastAsia"/>
          <w:b/>
          <w:bCs/>
          <w:color w:val="000000"/>
          <w:kern w:val="0"/>
          <w:sz w:val="36"/>
        </w:rPr>
      </w:pP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sz w:val="36"/>
        </w:rPr>
        <w:t>医疗器械临床试验质量管理规范</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第一章</w:t>
      </w:r>
      <w:r w:rsidRPr="00333A78">
        <w:rPr>
          <w:rFonts w:ascii="ˎ̥" w:eastAsia="宋体" w:hAnsi="ˎ̥" w:cs="Arial"/>
          <w:b/>
          <w:bCs/>
          <w:color w:val="000000"/>
          <w:kern w:val="0"/>
        </w:rPr>
        <w:t xml:space="preserve"> </w:t>
      </w:r>
      <w:r w:rsidRPr="00333A78">
        <w:rPr>
          <w:rFonts w:ascii="ˎ̥" w:eastAsia="宋体" w:hAnsi="ˎ̥" w:cs="Arial"/>
          <w:b/>
          <w:bCs/>
          <w:color w:val="000000"/>
          <w:kern w:val="0"/>
        </w:rPr>
        <w:t>总</w:t>
      </w:r>
      <w:r w:rsidRPr="00333A78">
        <w:rPr>
          <w:rFonts w:ascii="ˎ̥" w:eastAsia="宋体" w:hAnsi="ˎ̥" w:cs="Arial"/>
          <w:b/>
          <w:bCs/>
          <w:color w:val="000000"/>
          <w:kern w:val="0"/>
        </w:rPr>
        <w:t xml:space="preserve"> </w:t>
      </w:r>
      <w:r w:rsidRPr="00333A78">
        <w:rPr>
          <w:rFonts w:ascii="ˎ̥" w:eastAsia="宋体" w:hAnsi="ˎ̥" w:cs="Arial"/>
          <w:b/>
          <w:bCs/>
          <w:color w:val="000000"/>
          <w:kern w:val="0"/>
        </w:rPr>
        <w:t>则</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为加强对医疗器械临床试验的管理，维护医疗器械临床试验过程中受试者权益，保证医疗器械临床试验过程规范，结果真实、科学、可靠和可追溯，根据《医疗器械监督管理条例》，制定本规范。</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在中华人民共和国境内开展医疗器械临床试验，应当遵循本规范。</w:t>
      </w:r>
      <w:r w:rsidRPr="00333A78">
        <w:rPr>
          <w:rFonts w:ascii="ˎ̥" w:eastAsia="宋体" w:hAnsi="ˎ̥" w:cs="Arial"/>
          <w:color w:val="000000"/>
          <w:kern w:val="0"/>
          <w:sz w:val="18"/>
          <w:szCs w:val="18"/>
        </w:rPr>
        <w:br/>
      </w:r>
      <w:r w:rsidRPr="00333A78">
        <w:rPr>
          <w:rFonts w:ascii="ˎ̥" w:eastAsia="宋体" w:hAnsi="ˎ̥" w:cs="Arial"/>
          <w:color w:val="000000"/>
          <w:kern w:val="0"/>
          <w:szCs w:val="21"/>
        </w:rPr>
        <w:t>本规范涵盖医疗器械临床试验全过程，包括临床试验的方案设计、实施、监查、核查、检查，以及数据的采集、记录，分析总结和报告等。</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本规范所称医疗器械临床试验，是指在经资质认定的医疗器械临床试验机构中，对拟申请注册的医疗器械在正常使用条件下的安全性和有效性进行确认或者验证的过程。</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医疗器械临床试验应当遵循依法原则、伦理原则和科学原则。</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省级以上食品药品监督管理部门负责对医疗器械临床试验的监督管理。</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卫生计生主管部门在职责范围内加强对医疗器械临床试验的管理。</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第二章</w:t>
      </w:r>
      <w:r w:rsidRPr="00333A78">
        <w:rPr>
          <w:rFonts w:ascii="ˎ̥" w:eastAsia="宋体" w:hAnsi="ˎ̥" w:cs="Arial"/>
          <w:b/>
          <w:bCs/>
          <w:color w:val="000000"/>
          <w:kern w:val="0"/>
        </w:rPr>
        <w:t xml:space="preserve"> </w:t>
      </w:r>
      <w:r w:rsidRPr="00333A78">
        <w:rPr>
          <w:rFonts w:ascii="ˎ̥" w:eastAsia="宋体" w:hAnsi="ˎ̥" w:cs="Arial"/>
          <w:b/>
          <w:bCs/>
          <w:color w:val="000000"/>
          <w:kern w:val="0"/>
        </w:rPr>
        <w:t>临床试验前准备</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进行医疗器械临床试验应当有充分的科学依据和明确的试验目的，并权衡对受试者和公众健康预期的受益以及风险，预期的受益应当超过可能出现的损害。</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临床试验前，申办者应当完成试验用医疗器械的临床前研究，包括产品设计（结构组成、工作原理和作用机理、预期用途以及适用范围、适用的技术要求）和质量检验、动</w:t>
      </w:r>
      <w:r w:rsidRPr="00333A78">
        <w:rPr>
          <w:rFonts w:ascii="ˎ̥" w:eastAsia="宋体" w:hAnsi="ˎ̥" w:cs="Arial"/>
          <w:color w:val="000000"/>
          <w:kern w:val="0"/>
          <w:szCs w:val="21"/>
        </w:rPr>
        <w:lastRenderedPageBreak/>
        <w:t>物试验以及风险分析等，且结果应当能够支持该项临床试验。质量检验结果包括自检报告和具有资质的检验机构出具的一年内的产品注册检验合格报告。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临床试验前，申办者应当准备充足的试验用医疗器械。试验用医疗器械的研制应当符合适用的医疗器械质量管理体系相关要求。</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医疗器械临床试验应当在两个或者两个以上医疗器械临床试验机构中进行。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医疗器械临床试验机构资质认定管理办法由国家食品药品监督管理总局会同国家卫生和计划生育委员会另行制定。</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临床试验前，申办者与临床试验机构和研究者应当就试验设计、试验质量控制、试验中的职责分工、申办者承担的临床试验相关费用以及试验中可能发生的伤害处理原则等达成书面协议。</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临床试验应当获得医疗器械临床试验机构伦理委员会的同意。列入需进行临床试验审批的第三类医疗器械目录的，还应当获得国家食品药品监督管理总局的批准。</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临床试验前，申办者应当向所在地省、自治区、直辖市食品药品监督管理部门备案。</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接受备案的食品药品监督管理部门应当将备案情况通报临床试验机构所在地的同级食品药品监督管理部门以及卫生计生主管部门。</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lastRenderedPageBreak/>
        <w:t>第三章</w:t>
      </w:r>
      <w:r w:rsidRPr="00333A78">
        <w:rPr>
          <w:rFonts w:ascii="ˎ̥" w:eastAsia="宋体" w:hAnsi="ˎ̥" w:cs="Arial"/>
          <w:b/>
          <w:bCs/>
          <w:color w:val="000000"/>
          <w:kern w:val="0"/>
        </w:rPr>
        <w:t xml:space="preserve"> </w:t>
      </w:r>
      <w:r w:rsidRPr="00333A78">
        <w:rPr>
          <w:rFonts w:ascii="ˎ̥" w:eastAsia="宋体" w:hAnsi="ˎ̥" w:cs="Arial"/>
          <w:b/>
          <w:bCs/>
          <w:color w:val="000000"/>
          <w:kern w:val="0"/>
        </w:rPr>
        <w:t>受试者权益保障</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医疗器械临床试验应当遵循《世界医学大会赫尔辛基宣言》确定的伦理准则。</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伦理审查与知情同意是保障受试者权益的主要措施。</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参与临床试验的各方应当按照试验中各自的职责承担相应的伦理责任。</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申办者应当避免对受试者、临床试验机构和研究者等临床试验参与者或者相关方产生不当影响或者误导。</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临床试验机构和研究者应当避免对受试者、申办者等临床试验参与者或者相关方产生不当影响或者误导。</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申办者、临床试验机构和研究者不得夸大参与临床试验的补偿措施，误导受试者参与临床试验。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临床试验前，申办者应当通过研究者和临床试验机构的医疗器械临床试验管理部门向伦理委员会提交下列文件：</w:t>
      </w:r>
      <w:r w:rsidRPr="00333A78">
        <w:rPr>
          <w:rFonts w:ascii="ˎ̥" w:eastAsia="宋体" w:hAnsi="ˎ̥" w:cs="Arial"/>
          <w:color w:val="000000"/>
          <w:kern w:val="0"/>
          <w:sz w:val="18"/>
          <w:szCs w:val="18"/>
        </w:rPr>
        <w:br/>
      </w:r>
      <w:r w:rsidRPr="00CD4C14">
        <w:rPr>
          <w:rFonts w:ascii="ˎ̥" w:eastAsia="宋体" w:hAnsi="ˎ̥" w:cs="Arial"/>
          <w:color w:val="FF0000"/>
          <w:kern w:val="0"/>
          <w:szCs w:val="21"/>
        </w:rPr>
        <w:t xml:space="preserve">　　（一）临床试验方案；</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（二）研究者手册；</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（三）知情同意书文本和其他任何提供给受试者的书面材料；</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（四）招募受试者和向其宣传的程序性文件；</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（五）病例报告表文本；</w:t>
      </w:r>
      <w:r w:rsidRPr="00CD4C14">
        <w:rPr>
          <w:rFonts w:ascii="ˎ̥" w:eastAsia="宋体" w:hAnsi="ˎ̥" w:cs="Arial"/>
          <w:color w:val="FF0000"/>
          <w:kern w:val="0"/>
          <w:szCs w:val="21"/>
        </w:rPr>
        <w:t xml:space="preserve"> </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（六）自检报告和产品注册检验报告；</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（七）研究者简历、专业特长、能力、接受培训和其他能够证明其资格的文件；</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（八）临床试验机构的设施和条件能够满足试验的综述；</w:t>
      </w:r>
      <w:r w:rsidRPr="00CD4C14">
        <w:rPr>
          <w:rFonts w:ascii="ˎ̥" w:eastAsia="宋体" w:hAnsi="ˎ̥" w:cs="Arial"/>
          <w:color w:val="FF0000"/>
          <w:kern w:val="0"/>
          <w:sz w:val="18"/>
          <w:szCs w:val="18"/>
        </w:rPr>
        <w:br/>
      </w:r>
      <w:r w:rsidRPr="00CD4C14">
        <w:rPr>
          <w:rFonts w:ascii="ˎ̥" w:eastAsia="宋体" w:hAnsi="ˎ̥" w:cs="Arial"/>
          <w:color w:val="FF0000"/>
          <w:kern w:val="0"/>
          <w:szCs w:val="21"/>
        </w:rPr>
        <w:lastRenderedPageBreak/>
        <w:t xml:space="preserve">　　（九）试验用医疗器械的研制符合适用的医疗器械质量管理体系相关要求的声明；</w:t>
      </w:r>
      <w:r w:rsidRPr="00CD4C14">
        <w:rPr>
          <w:rFonts w:ascii="ˎ̥" w:eastAsia="宋体" w:hAnsi="ˎ̥" w:cs="Arial"/>
          <w:color w:val="FF0000"/>
          <w:kern w:val="0"/>
          <w:sz w:val="18"/>
          <w:szCs w:val="18"/>
        </w:rPr>
        <w:br/>
      </w:r>
      <w:r w:rsidRPr="00CD4C14">
        <w:rPr>
          <w:rFonts w:ascii="ˎ̥" w:eastAsia="宋体" w:hAnsi="ˎ̥" w:cs="Arial"/>
          <w:color w:val="FF0000"/>
          <w:kern w:val="0"/>
          <w:szCs w:val="21"/>
        </w:rPr>
        <w:t xml:space="preserve">　　（十）与伦理审查相关的其他文件。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伦理委员会应当秉承伦理和科学的原则，审查和监督临床试验的实施。</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在临床试验过程中发生下列情况之一的，研究者应当及时向临床试验机构的医疗器械临床试验管理部门报告，并经其及时通报申办者、报告伦理委员会：</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（一）严重不良事件；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（二）进度报告，包括安全性总结和偏离报告；</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（三）对伦理委员会已批准文件的任何修订，不影响受试者权益、安全和健康，或者与临床试验目的或终点不相关的非实质性改变无需事前报告，但事后应当书面告知；</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（四）暂停、终止或者暂停后请求恢复临床试验；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（五）影响受试者权益、安全和健康或者临床试验科学性的临床试验方案偏离，包括请求偏离和报告偏离。</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为保护受试者权益、安全和健康，在紧急情况下发生的偏离无法及时报告的，应当在事后以书面形式尽快按照相关规定报告。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临床试验过程中，如修订临床试验方案以及知情同意书等文件、请求偏离、恢复已暂停临床试验，应当在获得伦理委员会的书面批准后方可继续实施。</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第二十一条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知情同意书一般应当包括下列内容以及对事项的说明：</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（一）研究者的姓名以及相关信息；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（二）临床试验机构的名称；</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（三）试验名称、目的、方法、内容；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（四）试验过程、期限；</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（五）试验的资金来源、可能的利益冲突；</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（六）预期受试者可能的受益和已知的、可以预见的风险以及可能发生的不良事件；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（七）受试者可以获得的替代诊疗方法以及其潜在受益和风险的信息；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（八）需要时，说明受试者可能被分配到试验的不同组别；</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（九）受试者参加试验应当是自愿的，且在试验的任何阶段有权退出而不会受到歧视或者报复，其医疗待遇与权益不受影响；</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（十）告知受试者参加试验的个人资料属于保密，但伦理委员会、食品药品监督管理部门、卫生计生主管部门或者申办者在工作需要时按照规定程序可以查阅受试者参加试验的个人资料；</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（十一）如发生与试验相关的伤害，受试者可以获得治疗和经济补偿；</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（十二）受试者在试验期间可以随时了解与其有关的信息资料；</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（十三）受试者在试验期间可能获得的免费诊疗项目和其他相关补助。</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知情同意书应当采用受试者或者监护人能够理解的语言和文字。知情同意书不应当含有</w:t>
      </w:r>
      <w:r w:rsidRPr="00333A78">
        <w:rPr>
          <w:rFonts w:ascii="ˎ̥" w:eastAsia="宋体" w:hAnsi="ˎ̥" w:cs="Arial"/>
          <w:color w:val="000000"/>
          <w:kern w:val="0"/>
          <w:szCs w:val="21"/>
        </w:rPr>
        <w:lastRenderedPageBreak/>
        <w:t>会引起受试者放弃合法权益以及免除临床试验机构和研究者、申办者或者其代理人应当负责任的内容。</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获得知情同意还应当符合下列要求：</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（一）对无行为能力的受试者，如果伦理委员会原则上同意、研究者认为受试者参加临床试验符合其自身利益时，也可以进入临床试验，但试验前应当由其监护人签名并注明日期；</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（三）未成年人作为受试者，应当征得其监护人的知情同意并签署知情同意书，未成年人能对是否参加试验作出意思表示的，还应当征得其本人同意；</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（四）如发现涉及试验用医疗器械的重要信息或者预期以外的临床影响，应当对知情同意书相关内容进行修改，修改的知情同意书经伦理委员会认可后，应当由受试者或者其监护人重新签名确认。</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知情同意书应当注明制定的日期或者修订后版本的日期。如知情同意书在试验过程中有修订，修订版的知情同意书执行前需再次经伦理委员会同意。修订版的知情同意书报临床试验机构后，所有未结束试验流程的受试者如受影响，都应当签署新修订的知情同意书。</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受试者有权在临床试验的任何阶段退出并不承担任何经济责任。</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第四章</w:t>
      </w:r>
      <w:r w:rsidRPr="00333A78">
        <w:rPr>
          <w:rFonts w:ascii="ˎ̥" w:eastAsia="宋体" w:hAnsi="ˎ̥" w:cs="Arial"/>
          <w:b/>
          <w:bCs/>
          <w:color w:val="000000"/>
          <w:kern w:val="0"/>
        </w:rPr>
        <w:t xml:space="preserve"> </w:t>
      </w:r>
      <w:r w:rsidRPr="00333A78">
        <w:rPr>
          <w:rFonts w:ascii="ˎ̥" w:eastAsia="宋体" w:hAnsi="ˎ̥" w:cs="Arial"/>
          <w:b/>
          <w:bCs/>
          <w:color w:val="000000"/>
          <w:kern w:val="0"/>
        </w:rPr>
        <w:t>临床试验方案</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第二十六条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开展医疗器械临床试验，申办者应当按照试验用医疗器械的类别、风险、预期用途等组织制定科学、合理的临床试验方案。</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未在境内外批准上市的新产品，安全性以及性能尚未经医学证实的，临床试验方案设计时应当先进行小样本可行性试验，待初步确认其安全性后，再根据统计学要求确定样本量开展后续临床试验。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医疗器械临床试验方案应当包括下列内容：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（一）一般信息；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（二）临床试验的背景资料；</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（三）试验目的；</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（四）试验设计；</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（五）安全性评价方法；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（六）有效性评价方法；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（七）统计学考虑；</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（八）对临床试验方案修正的规定；</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（九）对不良事件和器械缺陷报告的规定；</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（十）直接访问源数据、文件；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（十一）临床试验涉及的伦理问题和说明以及知情同意书文本；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（十二）数据处理与记录保存；</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（十三）财务和保险；</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（十四）试验结果发表约定。</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上述部分内容可以包括在方案的其他相关文件如研究者手册中。临床试验机构的具体信息、试验结果发表约定、财务和保险可以在试验方案中表述，也可以另行制定协议加以规定。</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第二十九条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多中心临床试验由多位研究者按照同一试验方案在不同的临床试验机构中同期进行。其试验方案的设计和实施应当至少包括以下内容：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（一）试验方案由申办者组织制定并经各临床试验机构以及研究者共同讨论认定，且明确牵头单位临床试验机构的研究者为协调研究者；</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（二）协调研究者负责临床试验过程中各临床试验机构间的工作协调，在临床试验前期、中期和后期组织研究者会议，并与申办者共同对整个试验的实施负责；</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（三）各临床试验机构原则上应当同期开展和结束临床试验；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（四）各临床试验机构试验样本量以及分配、符合统计分析要求的理由；</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（五）申办者和临床试验机构对试验培训的计划与培训记录要求；</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（六）建立试验数据传递、管理、核查与查询程序，尤其明确要求各临床试验机构试验数据有关资料应当由牵头单位集中管理与分析；</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（七）多中心临床试验结束后，各临床试验机构研究者应当分别出具临床试验小结，连同病历报告表按规定经审核后交由协调研究者汇总完成总结报告。</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第五章</w:t>
      </w:r>
      <w:r w:rsidRPr="00333A78">
        <w:rPr>
          <w:rFonts w:ascii="ˎ̥" w:eastAsia="宋体" w:hAnsi="ˎ̥" w:cs="Arial"/>
          <w:b/>
          <w:bCs/>
          <w:color w:val="000000"/>
          <w:kern w:val="0"/>
        </w:rPr>
        <w:t xml:space="preserve"> </w:t>
      </w:r>
      <w:r w:rsidRPr="00333A78">
        <w:rPr>
          <w:rFonts w:ascii="ˎ̥" w:eastAsia="宋体" w:hAnsi="ˎ̥" w:cs="Arial"/>
          <w:b/>
          <w:bCs/>
          <w:color w:val="000000"/>
          <w:kern w:val="0"/>
        </w:rPr>
        <w:t>伦理委员会职责</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第三十条</w:t>
      </w:r>
      <w:r w:rsidRPr="00333A78">
        <w:rPr>
          <w:rFonts w:ascii="ˎ̥" w:eastAsia="宋体" w:hAnsi="ˎ̥" w:cs="Arial"/>
          <w:b/>
          <w:bCs/>
          <w:color w:val="000000"/>
          <w:kern w:val="0"/>
        </w:rPr>
        <w:t xml:space="preserve"> </w:t>
      </w:r>
      <w:r w:rsidRPr="00333A78">
        <w:rPr>
          <w:rFonts w:ascii="ˎ̥" w:eastAsia="宋体" w:hAnsi="ˎ̥" w:cs="Arial"/>
          <w:color w:val="000000"/>
          <w:kern w:val="0"/>
          <w:szCs w:val="21"/>
        </w:rPr>
        <w:t>医疗器械临床试验机构伦理委员会应当至少由</w:t>
      </w:r>
      <w:r w:rsidRPr="00333A78">
        <w:rPr>
          <w:rFonts w:ascii="ˎ̥" w:eastAsia="宋体" w:hAnsi="ˎ̥" w:cs="Arial"/>
          <w:color w:val="000000"/>
          <w:kern w:val="0"/>
          <w:szCs w:val="21"/>
        </w:rPr>
        <w:t>5</w:t>
      </w:r>
      <w:r w:rsidRPr="00333A78">
        <w:rPr>
          <w:rFonts w:ascii="ˎ̥" w:eastAsia="宋体" w:hAnsi="ˎ̥" w:cs="Arial"/>
          <w:color w:val="000000"/>
          <w:kern w:val="0"/>
          <w:szCs w:val="21"/>
        </w:rPr>
        <w:t>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第三十一条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医疗器械伦理委员会应当遵守《世界医学大会赫尔辛基宣言》伦理准则和食品药品监督管理部门的规定，建立相应的工作程序并形成文件，按照工作程序履行职责。</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伦理委员会中独立于研究者和申办者的委员有权发表意见并参与有关试验的表决。</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伦理委员会召开会议应当事先通知，参加评审和表决人数不能少于</w:t>
      </w:r>
      <w:r w:rsidRPr="00333A78">
        <w:rPr>
          <w:rFonts w:ascii="ˎ̥" w:eastAsia="宋体" w:hAnsi="ˎ̥" w:cs="Arial"/>
          <w:color w:val="000000"/>
          <w:kern w:val="0"/>
          <w:szCs w:val="21"/>
        </w:rPr>
        <w:t>5</w:t>
      </w:r>
      <w:r w:rsidRPr="00333A78">
        <w:rPr>
          <w:rFonts w:ascii="ˎ̥" w:eastAsia="宋体" w:hAnsi="ˎ̥" w:cs="Arial"/>
          <w:color w:val="000000"/>
          <w:kern w:val="0"/>
          <w:szCs w:val="21"/>
        </w:rPr>
        <w:t>人，作出任何决定应当由伦理委员会组成成员半数以上通过。</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研究者可以提供有关试验的任何方面的信息，但不应当参与评审、投票或者发表意见。</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伦理委员会在审查某些特殊试验时，可以邀请相关领域的专家参加。</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伦理委员会应当从保障受试者权益的角度严格审议试验方案以及相关文件，并应当重点关注下列内容：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（一）研究者的资格、经验以及是否有充分的时间参加该临床试验。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（二）临床试验机构的人员配备以及设备条件等是否符合试验要求。</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（三）受试者可能遭受的风险程度与试验预期的受益相比是否合适。</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（四）试验方案是否充分考虑了伦理原则，是否符合科学性，包括研究目的是否适当、受试者的权益是否得到保障、其他人员可能遭受风险的保护以及受试者入选的方法是否科学。</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w:t>
      </w:r>
      <w:r w:rsidRPr="00333A78">
        <w:rPr>
          <w:rFonts w:ascii="ˎ̥" w:eastAsia="宋体" w:hAnsi="ˎ̥" w:cs="Arial"/>
          <w:color w:val="000000"/>
          <w:kern w:val="0"/>
          <w:szCs w:val="21"/>
        </w:rPr>
        <w:t>10</w:t>
      </w:r>
      <w:r w:rsidRPr="00333A78">
        <w:rPr>
          <w:rFonts w:ascii="ˎ̥" w:eastAsia="宋体" w:hAnsi="ˎ̥" w:cs="Arial"/>
          <w:color w:val="000000"/>
          <w:kern w:val="0"/>
          <w:szCs w:val="21"/>
        </w:rPr>
        <w:t>年。</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（六）受试者若发生与临床试验相关的伤害或者死亡，给予的治疗和保险措施是否充分。</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（七）对试验方案提出的修改意见是否可以接受。</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（八）是否能够在临床试验进行中定期分析评估对受试者的可能危害。</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（九）对试验方案的偏离可能影响受试者权益、安全和健康，或者影响试验的科学性、完整性，是否可以接受。</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多中心临床试验的伦理审查应当由牵头单位伦理委员会负责建立协作审查工作程序，保证审查工作的一致性和及时性。</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伦理委员会接到医疗器械临床试验的申请后应当召开会议，审阅讨论，签发书面意见、盖章，并附出席会议的人员名单、专业以及本人签名。伦理委员会的意见可以是：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（一）同意；</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（二）作必要的修改后同意；</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（三）不同意；</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（四）暂停或者终止已批准的试验。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伦理委员会应当对本临床试验机构的临床试验进行跟踪监督，发现受试者权益不能得到保障等情形，可以在任何时间书面要求暂停或者终止该项临床试验。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被暂停的临床试验，未经伦理委员会同意，不得恢复。</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伦理委员会应当保留全部有关记录至临床试验完成后至少</w:t>
      </w:r>
      <w:r w:rsidRPr="00333A78">
        <w:rPr>
          <w:rFonts w:ascii="ˎ̥" w:eastAsia="宋体" w:hAnsi="ˎ̥" w:cs="Arial"/>
          <w:color w:val="000000"/>
          <w:kern w:val="0"/>
          <w:szCs w:val="21"/>
        </w:rPr>
        <w:t>10</w:t>
      </w:r>
      <w:r w:rsidRPr="00333A78">
        <w:rPr>
          <w:rFonts w:ascii="ˎ̥" w:eastAsia="宋体" w:hAnsi="ˎ̥" w:cs="Arial"/>
          <w:color w:val="000000"/>
          <w:kern w:val="0"/>
          <w:szCs w:val="21"/>
        </w:rPr>
        <w:t>年。</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lastRenderedPageBreak/>
        <w:t>第六章</w:t>
      </w:r>
      <w:r w:rsidRPr="00333A78">
        <w:rPr>
          <w:rFonts w:ascii="ˎ̥" w:eastAsia="宋体" w:hAnsi="ˎ̥" w:cs="Arial"/>
          <w:b/>
          <w:bCs/>
          <w:color w:val="000000"/>
          <w:kern w:val="0"/>
        </w:rPr>
        <w:t xml:space="preserve"> </w:t>
      </w:r>
      <w:r w:rsidRPr="00333A78">
        <w:rPr>
          <w:rFonts w:ascii="ˎ̥" w:eastAsia="宋体" w:hAnsi="ˎ̥" w:cs="Arial"/>
          <w:b/>
          <w:bCs/>
          <w:color w:val="000000"/>
          <w:kern w:val="0"/>
        </w:rPr>
        <w:t>申办者职责</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申办者负责发起、申请、组织、监查临床试验，并对临床试验的真实性、可靠性负责。申办者通常为医疗器械生产企业。申办者为境外机构的，应当按规定在我国境内指定代理人。</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第三十九条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申办者负责组织制定和修改研究者手册、临床试验方案、知情同意书、病例报告表、有关标准操作规程以及其他相关文件</w:t>
      </w:r>
      <w:r w:rsidRPr="00333A78">
        <w:rPr>
          <w:rFonts w:ascii="ˎ̥" w:eastAsia="宋体" w:hAnsi="ˎ̥" w:cs="Arial"/>
          <w:color w:val="000000"/>
          <w:kern w:val="0"/>
          <w:szCs w:val="21"/>
        </w:rPr>
        <w:t>,</w:t>
      </w:r>
      <w:r w:rsidRPr="00333A78">
        <w:rPr>
          <w:rFonts w:ascii="ˎ̥" w:eastAsia="宋体" w:hAnsi="ˎ̥" w:cs="Arial"/>
          <w:color w:val="000000"/>
          <w:kern w:val="0"/>
          <w:szCs w:val="21"/>
        </w:rPr>
        <w:t>并负责组织开展临床试验所必需的培训。</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研究者手册应当包括下列主要内容：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（一）申办者、研究者基本信息；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（二）试验用医疗器械的概要说明；</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（三）支持试验用医疗器械预期用途和临床试验设计理由的概要和评价；</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（四）试验用医疗器械的制造符合适用的医疗器械质量管理体系要求的声明。</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申办者在组织临床试验方案的制定中不得夸大宣传试验用医疗器械的机理和疗效。</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第四十三条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在临床试验过程中，申办者得到影响临床试验的重要信息时，应当及时对研究者手册以及相关文件进行修改，并通过临床试验机构的医疗器械临床试验管理部门提交伦理委员会审查同意。</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申办者应当与临床试验机构和研究者就下列事项达成书面协议：</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（一）按照相关法律法规和临床试验方案实施临床试验，并接受监查、核查和检查；</w:t>
      </w:r>
      <w:r w:rsidRPr="00333A78">
        <w:rPr>
          <w:rFonts w:ascii="ˎ̥" w:eastAsia="宋体" w:hAnsi="ˎ̥" w:cs="Arial"/>
          <w:color w:val="000000"/>
          <w:kern w:val="0"/>
          <w:szCs w:val="21"/>
        </w:rPr>
        <w:t xml:space="preserve"> </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（二）遵循数据记录和报告程序；</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（三）保留与试验有关的基本文件不少于法定时间，直至申办者通知临床试验机构和研究者不再需要该文件为止；</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（四）申办者得到伦理委员会批准后，负责向临床试验机构和研究者提供试验用医疗器械，并确定其运输条件、储存条件、储存时间、有效期等；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（五）试验用医疗器械应当质量合格，具有易于识别、正确编码以及贴有</w:t>
      </w:r>
      <w:r w:rsidRPr="00333A78">
        <w:rPr>
          <w:rFonts w:ascii="ˎ̥" w:eastAsia="宋体" w:hAnsi="ˎ̥" w:cs="Arial"/>
          <w:color w:val="000000"/>
          <w:kern w:val="0"/>
          <w:szCs w:val="21"/>
        </w:rPr>
        <w:t>“</w:t>
      </w:r>
      <w:r w:rsidRPr="00333A78">
        <w:rPr>
          <w:rFonts w:ascii="ˎ̥" w:eastAsia="宋体" w:hAnsi="ˎ̥" w:cs="Arial"/>
          <w:color w:val="000000"/>
          <w:kern w:val="0"/>
          <w:szCs w:val="21"/>
        </w:rPr>
        <w:t>试验用</w:t>
      </w:r>
      <w:r w:rsidRPr="00333A78">
        <w:rPr>
          <w:rFonts w:ascii="ˎ̥" w:eastAsia="宋体" w:hAnsi="ˎ̥" w:cs="Arial"/>
          <w:color w:val="000000"/>
          <w:kern w:val="0"/>
          <w:szCs w:val="21"/>
        </w:rPr>
        <w:t>”</w:t>
      </w:r>
      <w:r w:rsidRPr="00333A78">
        <w:rPr>
          <w:rFonts w:ascii="ˎ̥" w:eastAsia="宋体" w:hAnsi="ˎ̥" w:cs="Arial"/>
          <w:color w:val="000000"/>
          <w:kern w:val="0"/>
          <w:szCs w:val="21"/>
        </w:rPr>
        <w:t>的特殊标识，并按照临床试验方案要求进行适当包装和保存；</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（六）申办者应当制定临床试验质量控制相关的标准操作规程，如试验用医疗器械的运输、接收、储存、分发、处理、回收等，供临床试验机构和研究者遵循。</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申办者对试验用医疗器械在临床试验中的安全性负责。当发现可能影响受试者安全或者试验实施可能改变伦理委员会对继续试验的批准情况时，申办者应当立即通知所有临床试验机构和研究者，并作出相应处理。</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申办者决定暂停或者终止临床试验的，应当在</w:t>
      </w:r>
      <w:r w:rsidRPr="00333A78">
        <w:rPr>
          <w:rFonts w:ascii="ˎ̥" w:eastAsia="宋体" w:hAnsi="ˎ̥" w:cs="Arial"/>
          <w:color w:val="000000"/>
          <w:kern w:val="0"/>
          <w:szCs w:val="21"/>
        </w:rPr>
        <w:t>5</w:t>
      </w:r>
      <w:r w:rsidRPr="00333A78">
        <w:rPr>
          <w:rFonts w:ascii="ˎ̥" w:eastAsia="宋体" w:hAnsi="ˎ̥" w:cs="Arial"/>
          <w:color w:val="000000"/>
          <w:kern w:val="0"/>
          <w:szCs w:val="21"/>
        </w:rPr>
        <w:t>日内通知所有临床试验机构医疗器械临床试验管理部门，并书面说明理由。临床试验机构医疗器械临床试验管理部门应当及时通知相应的研究者、伦理委员会。对暂停的临床试验，未经伦理委员会同意，不得</w:t>
      </w:r>
      <w:r w:rsidRPr="00333A78">
        <w:rPr>
          <w:rFonts w:ascii="ˎ̥" w:eastAsia="宋体" w:hAnsi="ˎ̥" w:cs="Arial"/>
          <w:color w:val="000000"/>
          <w:kern w:val="0"/>
          <w:szCs w:val="21"/>
        </w:rPr>
        <w:lastRenderedPageBreak/>
        <w:t>恢复。临床试验结束后，申办者应当书面告知其所在地省、自治区、直辖市食品药品监督管理部门。</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申办者应当为发生与临床试验相关的伤害或者死亡的受试者承担治疗的费用以及相应的经济补偿，但在诊疗活动中由医疗机构及其医务人员过错造成的损害除外。</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第四十九条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申办者应当对临床试验承担监查责任，并选择符合要求的监查员履行监查职责。</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监查员人数以及监查的次数取决于临床试验的复杂程度和参与试验的临床试验机构数目。</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监查员应当遵循由申办者制定的试验用医疗器械临床试验监查标准操作规程，督促临床试验按照方案实施。具体职责包括：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（一）在试验前确认临床试验机构已具有适当的条件，包括人员配备与培训符合要求，实验室设备齐全、工作情况良好，预期有足够数量的受试者，参与研究人员熟悉试验要求。</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（二）在试验前、中、后期监查临床试验机构和研究者是否遵循有关法规、本规范和临</w:t>
      </w:r>
      <w:r w:rsidRPr="00333A78">
        <w:rPr>
          <w:rFonts w:ascii="ˎ̥" w:eastAsia="宋体" w:hAnsi="ˎ̥" w:cs="Arial"/>
          <w:color w:val="000000"/>
          <w:kern w:val="0"/>
          <w:szCs w:val="21"/>
        </w:rPr>
        <w:lastRenderedPageBreak/>
        <w:t>床试验方案。</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（五）确认受试者退出临床试验或者不依从知情同意书规定要求的情况记录在案，并与研究者讨论此种情况。</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（六）确认所有不良事件、并发症和其他器械缺陷均记录在案，严重不良事件和可能导致严重不良事件的器械缺陷在规定时间内作出报告并记录在案。</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（七）监查试验用医疗器械样品的供给、使用、维护以及运输、接收、储存、分发、处理与回收。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（八）监督临床试验过程中相关设备的定期维护和校准。</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（九）确保研究者收到的所有临床试验相关文件为最新版本。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（十）每次监查后应当书面报告申办者，报告应当包括监查员姓名、监查日期、监查时间、监查地点、监查内容、研究者姓名、项目完成情况、存在的问题、结论以及对错误、遗漏做出的纠正等。</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申办者为保证临床试验的质量，可以组织独立于临床试验、并具有相应培训和经验的核查员对临床试验开展情况进行核查，评估临床试验是否符合试验方案的要求。</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核查可以作为申办者临床试验质量管理常规工作的一部分，也可以用于评估监查活动的有效性，或者针对严重的或者反复的临床试验方案偏离、涉嫌造假等情况开展核查。</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核查员应当根据临床试验的重要性、受试者数量、临床试验的类型以及复杂性、受试者风险水平等制定核查方案和核查程序。</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对于严重不良事件和可能导致严重不良事件的器械缺陷，申办者应当在获知后</w:t>
      </w:r>
      <w:r w:rsidRPr="00333A78">
        <w:rPr>
          <w:rFonts w:ascii="ˎ̥" w:eastAsia="宋体" w:hAnsi="ˎ̥" w:cs="Arial"/>
          <w:color w:val="000000"/>
          <w:kern w:val="0"/>
          <w:szCs w:val="21"/>
        </w:rPr>
        <w:t>5</w:t>
      </w:r>
      <w:r w:rsidRPr="00333A78">
        <w:rPr>
          <w:rFonts w:ascii="ˎ̥" w:eastAsia="宋体" w:hAnsi="ˎ̥" w:cs="Arial"/>
          <w:color w:val="000000"/>
          <w:kern w:val="0"/>
          <w:szCs w:val="21"/>
        </w:rPr>
        <w:t>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申办者若采用电子临床数据库或者远程电子临床数据系统，应当确保临床数据的受控、真实，并形成完整的验证文件。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对于多中心临床试验，申办者应当保证在临床试验前已制定文件，明确协调研究者和其他研究者的职责分工。</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第五十八条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在多中心临床试验中，申办者应当保证病例报告表的设计严谨合理，能够使协调研究者获得各分中心临床试验机构的所有数据。</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第七章</w:t>
      </w:r>
      <w:r w:rsidRPr="00333A78">
        <w:rPr>
          <w:rFonts w:ascii="ˎ̥" w:eastAsia="宋体" w:hAnsi="ˎ̥" w:cs="Arial"/>
          <w:b/>
          <w:bCs/>
          <w:color w:val="000000"/>
          <w:kern w:val="0"/>
        </w:rPr>
        <w:t xml:space="preserve"> </w:t>
      </w:r>
      <w:r w:rsidRPr="00333A78">
        <w:rPr>
          <w:rFonts w:ascii="ˎ̥" w:eastAsia="宋体" w:hAnsi="ˎ̥" w:cs="Arial"/>
          <w:b/>
          <w:bCs/>
          <w:color w:val="000000"/>
          <w:kern w:val="0"/>
        </w:rPr>
        <w:t>临床试验机构和研究者职责</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第五十九条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临床试验机构在接受临床试验前，应当根据试验用医疗器械的特性，对相关资源进行评估，以决定是否接受该临床试验。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临床试验机构应当按照与申办者的约定妥善保存临床试验记录和基本文件。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负责临床试验的研究者应当具备下列条件：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（一）在该临床试验机构中具有副主任医师、副教授、副研究员等副高级以上相关专业技术职称和资质；</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（二）具有试验用医疗器械所要求的专业知识和经验，必要时应当经过有关培训；</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（三）熟悉申办者要求和其所提供的与临床试验有关的资料、文献；</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（四）有能力协调、支配和使用进行该项试验的人员和设备，且有能力处理试验用医疗器械发生的不良事件和其他关联事件；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（五）熟悉国家有关法律、法规以及本规范。</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临床试验前，临床试验机构的医疗器械临床试验管理部门应当配合申办者向伦理委员会提出申请，并按照规定递交相关文件。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第六十五条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研究者应当保证将试验用医疗器械只用于该临床试验的受试者，并不得收取任何费用。</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研究者或者参与试验的其他人员，不应当强迫或者以其他不正当方式诱使受试者参加试验。</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第六十九条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在临床试验中发现试验用医疗器械预期以外的不良事件时，应当和申办者共同对知情同意书相关内容进行修改，按照相关工作程序报伦理委员会审查同意后，由受影响的受试者或者其监护人对修改后的知情同意书进行重新签名确认。</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第七十条</w:t>
      </w:r>
      <w:r w:rsidRPr="00333A78">
        <w:rPr>
          <w:rFonts w:ascii="ˎ̥" w:eastAsia="宋体" w:hAnsi="ˎ̥" w:cs="Arial"/>
          <w:b/>
          <w:bCs/>
          <w:color w:val="000000"/>
          <w:kern w:val="0"/>
        </w:rPr>
        <w:t xml:space="preserve"> </w:t>
      </w:r>
      <w:r w:rsidRPr="00333A78">
        <w:rPr>
          <w:rFonts w:ascii="ˎ̥" w:eastAsia="宋体" w:hAnsi="ˎ̥" w:cs="Arial"/>
          <w:color w:val="000000"/>
          <w:kern w:val="0"/>
          <w:szCs w:val="21"/>
        </w:rPr>
        <w:t>研究者负责作出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在临床试验中出现严重不良事件的，研究者应当立即对受试者采取适当的治疗措施，同时书面报告所属的临床试验机构医疗器械临床试验管理部门，并经其书面通知申办者。医疗器械临床试验管理部门应当在</w:t>
      </w:r>
      <w:r w:rsidRPr="00333A78">
        <w:rPr>
          <w:rFonts w:ascii="ˎ̥" w:eastAsia="宋体" w:hAnsi="ˎ̥" w:cs="Arial"/>
          <w:color w:val="000000"/>
          <w:kern w:val="0"/>
          <w:szCs w:val="21"/>
        </w:rPr>
        <w:t>24</w:t>
      </w:r>
      <w:r w:rsidRPr="00333A78">
        <w:rPr>
          <w:rFonts w:ascii="ˎ̥" w:eastAsia="宋体" w:hAnsi="ˎ̥" w:cs="Arial"/>
          <w:color w:val="000000"/>
          <w:kern w:val="0"/>
          <w:szCs w:val="21"/>
        </w:rPr>
        <w:t>小时内书面报告相应的伦理委员会以及临床</w:t>
      </w:r>
      <w:r w:rsidRPr="00333A78">
        <w:rPr>
          <w:rFonts w:ascii="ˎ̥" w:eastAsia="宋体" w:hAnsi="ˎ̥" w:cs="Arial"/>
          <w:color w:val="000000"/>
          <w:kern w:val="0"/>
          <w:szCs w:val="21"/>
        </w:rPr>
        <w:lastRenderedPageBreak/>
        <w:t>试验机构所在地省、自治区、直辖市食品药品监督管理部门和卫生计生主管部门。对于死亡事件，临床试验机构和研究者应当向伦理委员会和申办者提供所需要的全部资料。</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研究者应当保证将临床试验数据准确、完整、清晰、及时地载入病例报告表。病例报告表由研究者签署姓名，任何数据的更改均应当由研究者签名并标注日期，同时保留原始记录，原始记录应当清晰可辨识。</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临床试验机构和研究者应当确保临床试验所形成数据、文件和记录的真实、准确、清晰、安全。</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临床试验机构和研究者应当接受申办者的监查、核查以及伦理委员会的监督，并提供所需的与试验有关的全部记录。食品药品监督管理部门、卫生计生主管部门派检查员开展检查的，</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临床试验机构和研究者应当予以配合。</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研究者接到申办者或者伦理委员会需要暂停或者终止临床试验的通知时，应当及时通知受试者，并保证受试者得到适当治疗和随访。</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第七十七条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临床试验机构和研究者对申办者违反有关规定或者要求改变试验数据、结论的，应当向申办者所在地省、自治区、直辖市食品药品监督管理部门或者国家食品药品监督管理总局报告。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临床试验结束时，研究者应当确保完成各项记录、报告。同时，研究者还应当确保收到的试验用医疗器械与所使用的、废弃的或者返还的数量相符合，确保剩余的试验用医疗器械妥善处理并记录存档。</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第七十九条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研究者可以根据临床试验的需要，授权相应人员进行受试者招募、与受试者持续沟通、临床试验数据记录、试验用医疗器械管理等。研究者应当对其授权的人员进行相关的培训并形成相应的文件。</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第八章</w:t>
      </w:r>
      <w:r w:rsidRPr="00333A78">
        <w:rPr>
          <w:rFonts w:ascii="ˎ̥" w:eastAsia="宋体" w:hAnsi="ˎ̥" w:cs="Arial"/>
          <w:b/>
          <w:bCs/>
          <w:color w:val="000000"/>
          <w:kern w:val="0"/>
        </w:rPr>
        <w:t xml:space="preserve"> </w:t>
      </w:r>
      <w:r w:rsidRPr="00333A78">
        <w:rPr>
          <w:rFonts w:ascii="ˎ̥" w:eastAsia="宋体" w:hAnsi="ˎ̥" w:cs="Arial"/>
          <w:b/>
          <w:bCs/>
          <w:color w:val="000000"/>
          <w:kern w:val="0"/>
        </w:rPr>
        <w:t>记录与报告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第八十条</w:t>
      </w:r>
      <w:r w:rsidRPr="00333A78">
        <w:rPr>
          <w:rFonts w:ascii="ˎ̥" w:eastAsia="宋体" w:hAnsi="ˎ̥" w:cs="Arial"/>
          <w:b/>
          <w:bCs/>
          <w:color w:val="000000"/>
          <w:kern w:val="0"/>
        </w:rPr>
        <w:t xml:space="preserve"> </w:t>
      </w:r>
      <w:r w:rsidRPr="00333A78">
        <w:rPr>
          <w:rFonts w:ascii="ˎ̥" w:eastAsia="宋体" w:hAnsi="ˎ̥" w:cs="Arial"/>
          <w:color w:val="000000"/>
          <w:kern w:val="0"/>
          <w:szCs w:val="21"/>
        </w:rPr>
        <w:t>在临床试验中，研究者应当确保将任何观察与发现均正确完整地予以记录，并认真填写病例报告表。记录至少应当包括：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（一）所使用的试验用医疗器械的信息，包括名称、型号、规格、接收日期、批号或者系列号等；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（二）每个受试者相关的病史以及病情进展等医疗记录、护理记录等；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（三）每个受试者使用试验用医疗器械的记录，包括每次使用的日期、时间、试验用医疗器械的状态等；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（四）记录者的签名以及日期。</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临床试验记录作为原始资料，不得随意更改；确需作更改时应当说明理由，签名并注明日期。</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对显著偏离临床试验方案或者在临床可接受范围以外的数据应当加以核实，由研究者作必要的说明。</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申办者应当准确、完整地记录与临床试验相关的信息，内容包括：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（一）试验用医疗器械运送和处理记录，包括名称、型号、规格、批号或者序列号，接收人的姓名、地址，运送日期，退回维修或者临床试验后医疗器械样品回收与处置日期、原因和处理方法等；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（二）与临床试验机构签订的协议；</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（三）监查报告、核查报告；</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（四）严重不良事件和可能导致严重不良事件的器械缺陷的记录与报告。</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第八十三条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研究者应当按照临床试验方案的设计要求，验证或者确认试验用医疗器械的安全性和有效性，并完成临床试验报告。多中心临床试验的临床试验报告应当包含各分中心的临床试验小结。</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临床试验报告应当与临床试验方案一致，主要包括：</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（一）一般信息；</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（二）摘要；</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（三）简介；</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（四）临床试验目的；</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（五）临床试验方法；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（六）临床试验内容；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（七）临床一般资料；</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（八）试验用医疗器械和对照用医疗器械或者对照诊疗方法；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（九）所采用的统计分析方法以及评价方法；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（十）临床评价标准；</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（十一）临床试验的组织结构；</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（十二）伦理情况说明；</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（十三）临床试验结果；</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（十四）临床试验中发现的不良事件以及其处理情况；</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（十五）临床试验结果分析、讨论，尤其是适应症、适用范围、禁忌症和注意事项；</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（十六）临床试验结论；</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（十七）存在问题以及改进建议；</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（十八）试验人员名单；</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（十九）其他需要说明的情况。</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临床试验报告应当由研究者签名、注明日期，经临床试验机构医疗器械临床试验管理部门审核出具意见、注明日期并加盖临床试验机构印章后交申办者。</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多中心临床试验中，各分中心临床试验小结应当由该中心的研究者签名并注明日期，经该中心的医疗器械临床试验管理部门审核、注明日期并加盖临床试验机构印章后交牵头单位。</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第九章</w:t>
      </w:r>
      <w:r w:rsidRPr="00333A78">
        <w:rPr>
          <w:rFonts w:ascii="ˎ̥" w:eastAsia="宋体" w:hAnsi="ˎ̥" w:cs="Arial"/>
          <w:b/>
          <w:bCs/>
          <w:color w:val="000000"/>
          <w:kern w:val="0"/>
        </w:rPr>
        <w:t xml:space="preserve"> </w:t>
      </w:r>
      <w:r w:rsidRPr="00333A78">
        <w:rPr>
          <w:rFonts w:ascii="ˎ̥" w:eastAsia="宋体" w:hAnsi="ˎ̥" w:cs="Arial"/>
          <w:b/>
          <w:bCs/>
          <w:color w:val="000000"/>
          <w:kern w:val="0"/>
        </w:rPr>
        <w:t>试验用医疗器械管理</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第八十七条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申办者应当参照国家食品药品监督管理总局有关医疗器械说明书和标签管理的规定，对试验用医疗器械作适当的标识，并标注</w:t>
      </w:r>
      <w:r w:rsidRPr="00333A78">
        <w:rPr>
          <w:rFonts w:ascii="ˎ̥" w:eastAsia="宋体" w:hAnsi="ˎ̥" w:cs="Arial"/>
          <w:color w:val="000000"/>
          <w:kern w:val="0"/>
          <w:szCs w:val="21"/>
        </w:rPr>
        <w:t>“</w:t>
      </w:r>
      <w:r w:rsidRPr="00333A78">
        <w:rPr>
          <w:rFonts w:ascii="ˎ̥" w:eastAsia="宋体" w:hAnsi="ˎ̥" w:cs="Arial"/>
          <w:color w:val="000000"/>
          <w:kern w:val="0"/>
          <w:szCs w:val="21"/>
        </w:rPr>
        <w:t>试验用</w:t>
      </w:r>
      <w:r w:rsidRPr="00333A78">
        <w:rPr>
          <w:rFonts w:ascii="ˎ̥" w:eastAsia="宋体" w:hAnsi="ˎ̥" w:cs="Arial"/>
          <w:color w:val="000000"/>
          <w:kern w:val="0"/>
          <w:szCs w:val="21"/>
        </w:rPr>
        <w:t>”</w:t>
      </w:r>
      <w:r w:rsidRPr="00333A78">
        <w:rPr>
          <w:rFonts w:ascii="ˎ̥" w:eastAsia="宋体" w:hAnsi="ˎ̥" w:cs="Arial"/>
          <w:color w:val="000000"/>
          <w:kern w:val="0"/>
          <w:szCs w:val="21"/>
        </w:rPr>
        <w:t>。</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第八十八条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试验用医疗器械的记录包括生产日期、产品批号、序列号等与生产有关的记录，与产品质量和稳定性有关的检验记录，运输、维护、交付各临床试验机构使用的记录，以及试验后回收与处置日期等方面的信息。</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第八十九条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第十章</w:t>
      </w:r>
      <w:r w:rsidRPr="00333A78">
        <w:rPr>
          <w:rFonts w:ascii="ˎ̥" w:eastAsia="宋体" w:hAnsi="ˎ̥" w:cs="Arial"/>
          <w:b/>
          <w:bCs/>
          <w:color w:val="000000"/>
          <w:kern w:val="0"/>
        </w:rPr>
        <w:t xml:space="preserve"> </w:t>
      </w:r>
      <w:r w:rsidRPr="00333A78">
        <w:rPr>
          <w:rFonts w:ascii="ˎ̥" w:eastAsia="宋体" w:hAnsi="ˎ̥" w:cs="Arial"/>
          <w:b/>
          <w:bCs/>
          <w:color w:val="000000"/>
          <w:kern w:val="0"/>
        </w:rPr>
        <w:t>基本文件管理</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临床试验机构、研究者、申办者应当建立基本文件保存制度。临床试验基本文件按临床试验阶段分为三部分：准备阶段文件、进行阶段文件和终止或者完成后文件。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第九十一条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临床试验机构应当保存临床试验资料至临床试验结束后</w:t>
      </w:r>
      <w:r w:rsidRPr="00333A78">
        <w:rPr>
          <w:rFonts w:ascii="ˎ̥" w:eastAsia="宋体" w:hAnsi="ˎ̥" w:cs="Arial"/>
          <w:color w:val="000000"/>
          <w:kern w:val="0"/>
          <w:szCs w:val="21"/>
        </w:rPr>
        <w:t>10</w:t>
      </w:r>
      <w:r w:rsidRPr="00333A78">
        <w:rPr>
          <w:rFonts w:ascii="ˎ̥" w:eastAsia="宋体" w:hAnsi="ˎ̥" w:cs="Arial"/>
          <w:color w:val="000000"/>
          <w:kern w:val="0"/>
          <w:szCs w:val="21"/>
        </w:rPr>
        <w:t>年。申办者应当保存临床试验资料至无该医疗器械使用时。</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第九十二条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临床试验基本文件可以用于评价申办者、临床试验机构和研究者对本规范和食品药品监督管理部门有关要求的执行情况。食品药品监督管理部门可以对临床试验基本文件进行检查。</w:t>
      </w:r>
    </w:p>
    <w:p w:rsidR="00333A78" w:rsidRPr="00333A78" w:rsidRDefault="00333A78" w:rsidP="00333A78">
      <w:pPr>
        <w:widowControl/>
        <w:spacing w:before="100" w:beforeAutospacing="1" w:after="100" w:afterAutospacing="1" w:line="480" w:lineRule="auto"/>
        <w:jc w:val="center"/>
        <w:rPr>
          <w:rFonts w:ascii="ˎ̥" w:eastAsia="宋体" w:hAnsi="ˎ̥" w:cs="Arial" w:hint="eastAsia"/>
          <w:color w:val="000000"/>
          <w:kern w:val="0"/>
          <w:szCs w:val="21"/>
        </w:rPr>
      </w:pPr>
      <w:r w:rsidRPr="00333A78">
        <w:rPr>
          <w:rFonts w:ascii="ˎ̥" w:eastAsia="宋体" w:hAnsi="ˎ̥" w:cs="Arial"/>
          <w:b/>
          <w:bCs/>
          <w:color w:val="000000"/>
          <w:kern w:val="0"/>
        </w:rPr>
        <w:t>第十一章</w:t>
      </w:r>
      <w:r w:rsidRPr="00333A78">
        <w:rPr>
          <w:rFonts w:ascii="ˎ̥" w:eastAsia="宋体" w:hAnsi="ˎ̥" w:cs="Arial"/>
          <w:b/>
          <w:bCs/>
          <w:color w:val="000000"/>
          <w:kern w:val="0"/>
        </w:rPr>
        <w:t xml:space="preserve"> </w:t>
      </w:r>
      <w:r w:rsidRPr="00333A78">
        <w:rPr>
          <w:rFonts w:ascii="ˎ̥" w:eastAsia="宋体" w:hAnsi="ˎ̥" w:cs="Arial"/>
          <w:b/>
          <w:bCs/>
          <w:color w:val="000000"/>
          <w:kern w:val="0"/>
        </w:rPr>
        <w:t>附</w:t>
      </w:r>
      <w:r w:rsidRPr="00333A78">
        <w:rPr>
          <w:rFonts w:ascii="ˎ̥" w:eastAsia="宋体" w:hAnsi="ˎ̥" w:cs="Arial"/>
          <w:b/>
          <w:bCs/>
          <w:color w:val="000000"/>
          <w:kern w:val="0"/>
        </w:rPr>
        <w:t xml:space="preserve"> </w:t>
      </w:r>
      <w:r w:rsidRPr="00333A78">
        <w:rPr>
          <w:rFonts w:ascii="ˎ̥" w:eastAsia="宋体" w:hAnsi="ˎ̥" w:cs="Arial"/>
          <w:b/>
          <w:bCs/>
          <w:color w:val="000000"/>
          <w:kern w:val="0"/>
        </w:rPr>
        <w:t>则</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lastRenderedPageBreak/>
        <w:t xml:space="preserve">　　第九十三条</w:t>
      </w:r>
      <w:r w:rsidRPr="00333A78">
        <w:rPr>
          <w:rFonts w:ascii="ˎ̥" w:eastAsia="宋体" w:hAnsi="ˎ̥" w:cs="Arial"/>
          <w:b/>
          <w:bCs/>
          <w:color w:val="000000"/>
          <w:kern w:val="0"/>
        </w:rPr>
        <w:t xml:space="preserve"> </w:t>
      </w:r>
      <w:r w:rsidRPr="00333A78">
        <w:rPr>
          <w:rFonts w:ascii="ˎ̥" w:eastAsia="宋体" w:hAnsi="ˎ̥" w:cs="Arial"/>
          <w:color w:val="000000"/>
          <w:kern w:val="0"/>
          <w:szCs w:val="21"/>
        </w:rPr>
        <w:t>本规范下列用语的含义：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医疗器械临床试验机构，是指经国家食品药品监督管理总局会同国家卫生和计划生育委员会认定的承担医疗器械临床试验的医疗机构。如无特别说明，本规范中</w:t>
      </w:r>
      <w:r w:rsidRPr="00333A78">
        <w:rPr>
          <w:rFonts w:ascii="ˎ̥" w:eastAsia="宋体" w:hAnsi="ˎ̥" w:cs="Arial"/>
          <w:color w:val="000000"/>
          <w:kern w:val="0"/>
          <w:szCs w:val="21"/>
        </w:rPr>
        <w:t>“</w:t>
      </w:r>
      <w:r w:rsidRPr="00333A78">
        <w:rPr>
          <w:rFonts w:ascii="ˎ̥" w:eastAsia="宋体" w:hAnsi="ˎ̥" w:cs="Arial"/>
          <w:color w:val="000000"/>
          <w:kern w:val="0"/>
          <w:szCs w:val="21"/>
        </w:rPr>
        <w:t>临床试验机构</w:t>
      </w:r>
      <w:r w:rsidRPr="00333A78">
        <w:rPr>
          <w:rFonts w:ascii="ˎ̥" w:eastAsia="宋体" w:hAnsi="ˎ̥" w:cs="Arial"/>
          <w:color w:val="000000"/>
          <w:kern w:val="0"/>
          <w:szCs w:val="21"/>
        </w:rPr>
        <w:t>”</w:t>
      </w:r>
      <w:r w:rsidRPr="00333A78">
        <w:rPr>
          <w:rFonts w:ascii="ˎ̥" w:eastAsia="宋体" w:hAnsi="ˎ̥" w:cs="Arial"/>
          <w:color w:val="000000"/>
          <w:kern w:val="0"/>
          <w:szCs w:val="21"/>
        </w:rPr>
        <w:t>即指</w:t>
      </w:r>
      <w:r w:rsidRPr="00333A78">
        <w:rPr>
          <w:rFonts w:ascii="ˎ̥" w:eastAsia="宋体" w:hAnsi="ˎ̥" w:cs="Arial"/>
          <w:color w:val="000000"/>
          <w:kern w:val="0"/>
          <w:szCs w:val="21"/>
        </w:rPr>
        <w:t>“</w:t>
      </w:r>
      <w:r w:rsidRPr="00333A78">
        <w:rPr>
          <w:rFonts w:ascii="ˎ̥" w:eastAsia="宋体" w:hAnsi="ˎ̥" w:cs="Arial"/>
          <w:color w:val="000000"/>
          <w:kern w:val="0"/>
          <w:szCs w:val="21"/>
        </w:rPr>
        <w:t>医疗器械临床试验机构</w:t>
      </w:r>
      <w:r w:rsidRPr="00333A78">
        <w:rPr>
          <w:rFonts w:ascii="ˎ̥" w:eastAsia="宋体" w:hAnsi="ˎ̥" w:cs="Arial"/>
          <w:color w:val="000000"/>
          <w:kern w:val="0"/>
          <w:szCs w:val="21"/>
        </w:rPr>
        <w:t>”</w:t>
      </w:r>
      <w:r w:rsidRPr="00333A78">
        <w:rPr>
          <w:rFonts w:ascii="ˎ̥" w:eastAsia="宋体" w:hAnsi="ˎ̥" w:cs="Arial"/>
          <w:color w:val="000000"/>
          <w:kern w:val="0"/>
          <w:szCs w:val="21"/>
        </w:rPr>
        <w:t>。</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试验用医疗器械，是指临床试验中对其安全性、有效性进行确认或者验证的拟申请注册的医疗器械。</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申办者，是指临床试验的发起、管理和提供财务支持的机构或者组织。</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研究者，是指在临床试验机构中负责实施临床试验的人。如果在临床试验机构中是由一组人员实施试验的，则研究者是指该组的负责人，也称主要研究者。</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伦理委员会，是指临床试验机构设置的对医疗器械临床试验项目的科学性和伦理性进行审查的独立的机构。</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医疗器械临床试验管理部门，是指临床试验机构内设置的负责医疗器械临床试验组织管理和质量控制的处室或者部门。</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多中心临床试验，是指按照同一临床试验方案，在三个以上（含三个）临床试验机构实施的临床试验。</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受试者，是指被招募接受医疗器械临床试验的个人。</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知情同意，是指向受试者告知临床试验的各方面情况后，受试者确认自愿参加该项临床试验的过程，应当以签名和注明日期的知情同意书作为证明文件。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知情同意书，是指受试者表示自愿参加临床试验的证明性文件。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333A78">
        <w:rPr>
          <w:rFonts w:ascii="ˎ̥" w:eastAsia="宋体" w:hAnsi="ˎ̥" w:cs="Arial"/>
          <w:color w:val="000000"/>
          <w:kern w:val="0"/>
          <w:sz w:val="18"/>
          <w:szCs w:val="18"/>
        </w:rPr>
        <w:br/>
      </w:r>
      <w:r w:rsidRPr="00333A78">
        <w:rPr>
          <w:rFonts w:ascii="ˎ̥" w:eastAsia="宋体" w:hAnsi="ˎ̥" w:cs="Arial"/>
          <w:color w:val="000000"/>
          <w:kern w:val="0"/>
          <w:szCs w:val="21"/>
        </w:rPr>
        <w:lastRenderedPageBreak/>
        <w:t xml:space="preserve">　　监查员，是指申办者选派的对医疗器械临床试验项目进行监查的专门人员。</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核查，是指由申办者组织的对临床试验相关活动和文件进行系统性的独立检查，以确定此类活动的执行、数据的记录、分析和报告是否符合临床试验方案、标准操作规程、本规范和有关适用的管理要求。</w:t>
      </w:r>
      <w:r w:rsidRPr="00333A78">
        <w:rPr>
          <w:rFonts w:ascii="ˎ̥" w:eastAsia="宋体" w:hAnsi="ˎ̥" w:cs="Arial"/>
          <w:color w:val="000000"/>
          <w:kern w:val="0"/>
          <w:szCs w:val="21"/>
        </w:rPr>
        <w:t xml:space="preserve"> </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核查员，是指受申办者委托对医疗器械临床试验项目进行核查的人员。</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检查，是指监管部门对临床试验的有关文件、设施、记录和其他方面进行的监督管理活动。</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检查员，是指监管部门选派的对医疗器械临床试验项目进行检查的人员。</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偏离，是指有意或者无意地未遵循临床试验方案要求的情形。</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病例报告表，是指按照临床试验方案所规定设计的文件，用以记录试验过程中获得的每个受试者的全部信息和数据。</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终点，是指用于评估临床试验假设的指标。</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源数据，是指临床试验中的临床发现、观察和其他活动的原始记录以及其经核准的副本中的所有信息，可以用于临床试验重建和评价。</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源文件，是指包含源数据的印刷文件、可视文件或者电子文件等。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不良事件，是指在临床试验过程中出现的不利的医学事件，无论是否与试验用医疗器械相关。</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器械缺陷，是指临床试验过程中医疗器械在正常使用情况下存在可能危及人体健康和生</w:t>
      </w:r>
      <w:r w:rsidRPr="00333A78">
        <w:rPr>
          <w:rFonts w:ascii="ˎ̥" w:eastAsia="宋体" w:hAnsi="ˎ̥" w:cs="Arial"/>
          <w:color w:val="000000"/>
          <w:kern w:val="0"/>
          <w:szCs w:val="21"/>
        </w:rPr>
        <w:lastRenderedPageBreak/>
        <w:t>命安全的不合理风险，如标签错误、质量问题、故障等。</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标准操作规程，是指为有效地实施和完成临床试验中每项工作所拟定的标准和详细的书面规程。</w:t>
      </w:r>
      <w:r w:rsidRPr="00333A78">
        <w:rPr>
          <w:rFonts w:ascii="ˎ̥" w:eastAsia="宋体" w:hAnsi="ˎ̥" w:cs="Arial"/>
          <w:color w:val="000000"/>
          <w:kern w:val="0"/>
          <w:sz w:val="18"/>
          <w:szCs w:val="18"/>
        </w:rPr>
        <w:br/>
      </w:r>
      <w:r w:rsidRPr="00333A78">
        <w:rPr>
          <w:rFonts w:ascii="ˎ̥" w:eastAsia="宋体" w:hAnsi="ˎ̥" w:cs="Arial"/>
          <w:color w:val="000000"/>
          <w:kern w:val="0"/>
          <w:szCs w:val="21"/>
        </w:rPr>
        <w:t xml:space="preserve">　　临床数据，是指在有关文献或者医疗器械的临床使用中获得的安全性、性能的信息。</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第九十四条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医疗器械临床试验伦理审查申请审批表等文书的格式范本由国家食品药品监督管理总局另行制定。</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第九十五条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本规范不适用于按照医疗器械管理的体外诊断试剂。</w:t>
      </w:r>
    </w:p>
    <w:p w:rsidR="00333A78" w:rsidRPr="00333A78" w:rsidRDefault="00333A78" w:rsidP="00333A78">
      <w:pPr>
        <w:widowControl/>
        <w:spacing w:before="100" w:beforeAutospacing="1" w:after="100" w:afterAutospacing="1" w:line="480" w:lineRule="auto"/>
        <w:jc w:val="left"/>
        <w:rPr>
          <w:rFonts w:ascii="ˎ̥" w:eastAsia="宋体" w:hAnsi="ˎ̥" w:cs="Arial" w:hint="eastAsia"/>
          <w:color w:val="000000"/>
          <w:kern w:val="0"/>
          <w:szCs w:val="21"/>
        </w:rPr>
      </w:pPr>
      <w:r w:rsidRPr="00333A78">
        <w:rPr>
          <w:rFonts w:ascii="ˎ̥" w:eastAsia="宋体" w:hAnsi="ˎ̥" w:cs="Arial"/>
          <w:b/>
          <w:bCs/>
          <w:color w:val="000000"/>
          <w:kern w:val="0"/>
        </w:rPr>
        <w:t xml:space="preserve">　　第九十六条</w:t>
      </w:r>
      <w:r w:rsidRPr="00333A78">
        <w:rPr>
          <w:rFonts w:ascii="ˎ̥" w:eastAsia="宋体" w:hAnsi="ˎ̥" w:cs="Arial"/>
          <w:color w:val="000000"/>
          <w:kern w:val="0"/>
          <w:szCs w:val="21"/>
        </w:rPr>
        <w:t xml:space="preserve"> </w:t>
      </w:r>
      <w:r w:rsidRPr="00333A78">
        <w:rPr>
          <w:rFonts w:ascii="ˎ̥" w:eastAsia="宋体" w:hAnsi="ˎ̥" w:cs="Arial"/>
          <w:color w:val="000000"/>
          <w:kern w:val="0"/>
          <w:szCs w:val="21"/>
        </w:rPr>
        <w:t>本规范自</w:t>
      </w:r>
      <w:r w:rsidRPr="00333A78">
        <w:rPr>
          <w:rFonts w:ascii="ˎ̥" w:eastAsia="宋体" w:hAnsi="ˎ̥" w:cs="Arial"/>
          <w:color w:val="000000"/>
          <w:kern w:val="0"/>
          <w:szCs w:val="21"/>
        </w:rPr>
        <w:t>2016</w:t>
      </w:r>
      <w:r w:rsidRPr="00333A78">
        <w:rPr>
          <w:rFonts w:ascii="ˎ̥" w:eastAsia="宋体" w:hAnsi="ˎ̥" w:cs="Arial"/>
          <w:color w:val="000000"/>
          <w:kern w:val="0"/>
          <w:szCs w:val="21"/>
        </w:rPr>
        <w:t>年</w:t>
      </w:r>
      <w:r w:rsidRPr="00333A78">
        <w:rPr>
          <w:rFonts w:ascii="ˎ̥" w:eastAsia="宋体" w:hAnsi="ˎ̥" w:cs="Arial"/>
          <w:color w:val="000000"/>
          <w:kern w:val="0"/>
          <w:szCs w:val="21"/>
        </w:rPr>
        <w:t>6</w:t>
      </w:r>
      <w:r w:rsidRPr="00333A78">
        <w:rPr>
          <w:rFonts w:ascii="ˎ̥" w:eastAsia="宋体" w:hAnsi="ˎ̥" w:cs="Arial"/>
          <w:color w:val="000000"/>
          <w:kern w:val="0"/>
          <w:szCs w:val="21"/>
        </w:rPr>
        <w:t>月</w:t>
      </w:r>
      <w:r w:rsidRPr="00333A78">
        <w:rPr>
          <w:rFonts w:ascii="ˎ̥" w:eastAsia="宋体" w:hAnsi="ˎ̥" w:cs="Arial"/>
          <w:color w:val="000000"/>
          <w:kern w:val="0"/>
          <w:szCs w:val="21"/>
        </w:rPr>
        <w:t>1</w:t>
      </w:r>
      <w:r w:rsidRPr="00333A78">
        <w:rPr>
          <w:rFonts w:ascii="ˎ̥" w:eastAsia="宋体" w:hAnsi="ˎ̥" w:cs="Arial"/>
          <w:color w:val="000000"/>
          <w:kern w:val="0"/>
          <w:szCs w:val="21"/>
        </w:rPr>
        <w:t>日起施行。</w:t>
      </w:r>
      <w:r w:rsidRPr="00333A78">
        <w:rPr>
          <w:rFonts w:ascii="ˎ̥" w:eastAsia="宋体" w:hAnsi="ˎ̥" w:cs="Arial"/>
          <w:color w:val="000000"/>
          <w:kern w:val="0"/>
          <w:szCs w:val="21"/>
        </w:rPr>
        <w:t>2004</w:t>
      </w:r>
      <w:r w:rsidRPr="00333A78">
        <w:rPr>
          <w:rFonts w:ascii="ˎ̥" w:eastAsia="宋体" w:hAnsi="ˎ̥" w:cs="Arial"/>
          <w:color w:val="000000"/>
          <w:kern w:val="0"/>
          <w:szCs w:val="21"/>
        </w:rPr>
        <w:t>年</w:t>
      </w:r>
      <w:r w:rsidRPr="00333A78">
        <w:rPr>
          <w:rFonts w:ascii="ˎ̥" w:eastAsia="宋体" w:hAnsi="ˎ̥" w:cs="Arial"/>
          <w:color w:val="000000"/>
          <w:kern w:val="0"/>
          <w:szCs w:val="21"/>
        </w:rPr>
        <w:t>1</w:t>
      </w:r>
      <w:r w:rsidRPr="00333A78">
        <w:rPr>
          <w:rFonts w:ascii="ˎ̥" w:eastAsia="宋体" w:hAnsi="ˎ̥" w:cs="Arial"/>
          <w:color w:val="000000"/>
          <w:kern w:val="0"/>
          <w:szCs w:val="21"/>
        </w:rPr>
        <w:t>月</w:t>
      </w:r>
      <w:r w:rsidRPr="00333A78">
        <w:rPr>
          <w:rFonts w:ascii="ˎ̥" w:eastAsia="宋体" w:hAnsi="ˎ̥" w:cs="Arial"/>
          <w:color w:val="000000"/>
          <w:kern w:val="0"/>
          <w:szCs w:val="21"/>
        </w:rPr>
        <w:t>17</w:t>
      </w:r>
      <w:r w:rsidRPr="00333A78">
        <w:rPr>
          <w:rFonts w:ascii="ˎ̥" w:eastAsia="宋体" w:hAnsi="ˎ̥" w:cs="Arial"/>
          <w:color w:val="000000"/>
          <w:kern w:val="0"/>
          <w:szCs w:val="21"/>
        </w:rPr>
        <w:t>日发布的《医疗器械临床试验规定》（国家食品药品监督管理局令第</w:t>
      </w:r>
      <w:r w:rsidRPr="00333A78">
        <w:rPr>
          <w:rFonts w:ascii="ˎ̥" w:eastAsia="宋体" w:hAnsi="ˎ̥" w:cs="Arial"/>
          <w:color w:val="000000"/>
          <w:kern w:val="0"/>
          <w:szCs w:val="21"/>
        </w:rPr>
        <w:t>5</w:t>
      </w:r>
      <w:r w:rsidRPr="00333A78">
        <w:rPr>
          <w:rFonts w:ascii="ˎ̥" w:eastAsia="宋体" w:hAnsi="ˎ̥" w:cs="Arial"/>
          <w:color w:val="000000"/>
          <w:kern w:val="0"/>
          <w:szCs w:val="21"/>
        </w:rPr>
        <w:t>号）同时废止。</w:t>
      </w:r>
    </w:p>
    <w:p w:rsidR="00F32D4B" w:rsidRPr="00333A78" w:rsidRDefault="00F32D4B"/>
    <w:sectPr w:rsidR="00F32D4B" w:rsidRPr="00333A78" w:rsidSect="00772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CAF" w:rsidRDefault="00880CAF" w:rsidP="00333A78">
      <w:r>
        <w:separator/>
      </w:r>
    </w:p>
  </w:endnote>
  <w:endnote w:type="continuationSeparator" w:id="1">
    <w:p w:rsidR="00880CAF" w:rsidRDefault="00880CAF" w:rsidP="00333A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CAF" w:rsidRDefault="00880CAF" w:rsidP="00333A78">
      <w:r>
        <w:separator/>
      </w:r>
    </w:p>
  </w:footnote>
  <w:footnote w:type="continuationSeparator" w:id="1">
    <w:p w:rsidR="00880CAF" w:rsidRDefault="00880CAF" w:rsidP="00333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A78"/>
    <w:rsid w:val="00333A78"/>
    <w:rsid w:val="0077222D"/>
    <w:rsid w:val="00836670"/>
    <w:rsid w:val="00880CAF"/>
    <w:rsid w:val="00CD4C14"/>
    <w:rsid w:val="00F32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3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3A78"/>
    <w:rPr>
      <w:sz w:val="18"/>
      <w:szCs w:val="18"/>
    </w:rPr>
  </w:style>
  <w:style w:type="paragraph" w:styleId="a4">
    <w:name w:val="footer"/>
    <w:basedOn w:val="a"/>
    <w:link w:val="Char0"/>
    <w:uiPriority w:val="99"/>
    <w:semiHidden/>
    <w:unhideWhenUsed/>
    <w:rsid w:val="00333A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3A78"/>
    <w:rPr>
      <w:sz w:val="18"/>
      <w:szCs w:val="18"/>
    </w:rPr>
  </w:style>
  <w:style w:type="character" w:styleId="a5">
    <w:name w:val="Strong"/>
    <w:basedOn w:val="a0"/>
    <w:uiPriority w:val="22"/>
    <w:qFormat/>
    <w:rsid w:val="00333A78"/>
    <w:rPr>
      <w:b/>
      <w:bCs/>
    </w:rPr>
  </w:style>
  <w:style w:type="paragraph" w:styleId="a6">
    <w:name w:val="Balloon Text"/>
    <w:basedOn w:val="a"/>
    <w:link w:val="Char1"/>
    <w:uiPriority w:val="99"/>
    <w:semiHidden/>
    <w:unhideWhenUsed/>
    <w:rsid w:val="00333A78"/>
    <w:rPr>
      <w:sz w:val="18"/>
      <w:szCs w:val="18"/>
    </w:rPr>
  </w:style>
  <w:style w:type="character" w:customStyle="1" w:styleId="Char1">
    <w:name w:val="批注框文本 Char"/>
    <w:basedOn w:val="a0"/>
    <w:link w:val="a6"/>
    <w:uiPriority w:val="99"/>
    <w:semiHidden/>
    <w:rsid w:val="00333A7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2216</Words>
  <Characters>12635</Characters>
  <Application>Microsoft Office Word</Application>
  <DocSecurity>0</DocSecurity>
  <Lines>105</Lines>
  <Paragraphs>29</Paragraphs>
  <ScaleCrop>false</ScaleCrop>
  <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chinayu</dc:creator>
  <cp:keywords/>
  <dc:description/>
  <cp:lastModifiedBy>chinayu</cp:lastModifiedBy>
  <cp:revision>4</cp:revision>
  <dcterms:created xsi:type="dcterms:W3CDTF">2017-04-10T04:02:00Z</dcterms:created>
  <dcterms:modified xsi:type="dcterms:W3CDTF">2017-04-10T09:08:00Z</dcterms:modified>
</cp:coreProperties>
</file>